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5D45D" w14:textId="26E1B0BA" w:rsidR="00C468E8" w:rsidRPr="007708B9" w:rsidRDefault="00680491" w:rsidP="00812EEC">
      <w:pPr>
        <w:pStyle w:val="Nagwek1"/>
        <w:rPr>
          <w:rFonts w:ascii="Open Sans" w:hAnsi="Open Sans" w:cs="Open Sans"/>
          <w:color w:val="000000" w:themeColor="text1"/>
          <w:sz w:val="22"/>
          <w:szCs w:val="22"/>
        </w:rPr>
      </w:pPr>
      <w:r w:rsidRPr="00613154">
        <w:rPr>
          <w:rFonts w:ascii="Open Sans" w:hAnsi="Open Sans" w:cs="Open Sans"/>
          <w:color w:val="000000" w:themeColor="text1"/>
          <w:sz w:val="22"/>
          <w:szCs w:val="22"/>
        </w:rPr>
        <w:t xml:space="preserve">Załącznik nr </w:t>
      </w:r>
      <w:r w:rsidR="00613154" w:rsidRPr="00613154">
        <w:rPr>
          <w:rFonts w:ascii="Open Sans" w:hAnsi="Open Sans" w:cs="Open Sans"/>
          <w:color w:val="000000" w:themeColor="text1"/>
          <w:sz w:val="22"/>
          <w:szCs w:val="22"/>
        </w:rPr>
        <w:t>5</w:t>
      </w:r>
      <w:r w:rsidR="007874E3" w:rsidRPr="0061315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52160E" w:rsidRPr="00613154">
        <w:rPr>
          <w:rFonts w:ascii="Open Sans" w:hAnsi="Open Sans" w:cs="Open Sans"/>
          <w:color w:val="000000" w:themeColor="text1"/>
          <w:sz w:val="22"/>
          <w:szCs w:val="22"/>
        </w:rPr>
        <w:t>do Regulaminu</w:t>
      </w:r>
      <w:r w:rsidR="009C6990">
        <w:rPr>
          <w:rFonts w:ascii="Open Sans" w:hAnsi="Open Sans" w:cs="Open Sans"/>
          <w:color w:val="000000" w:themeColor="text1"/>
          <w:sz w:val="22"/>
          <w:szCs w:val="22"/>
        </w:rPr>
        <w:t xml:space="preserve"> wyboru projektów</w:t>
      </w:r>
    </w:p>
    <w:p w14:paraId="31DD7676" w14:textId="77777777" w:rsidR="00DA0BDF" w:rsidRPr="004B0E2A" w:rsidRDefault="00F94850" w:rsidP="00812EEC">
      <w:pPr>
        <w:pStyle w:val="Akapitzlist"/>
        <w:spacing w:before="600" w:after="240" w:line="360" w:lineRule="auto"/>
        <w:ind w:left="0"/>
        <w:contextualSpacing w:val="0"/>
        <w:rPr>
          <w:rFonts w:ascii="Open Sans" w:hAnsi="Open Sans" w:cs="Open Sans"/>
          <w:b/>
          <w:sz w:val="22"/>
          <w:szCs w:val="22"/>
        </w:rPr>
      </w:pPr>
      <w:r w:rsidRPr="004B0E2A">
        <w:rPr>
          <w:rFonts w:ascii="Open Sans" w:hAnsi="Open Sans" w:cs="Open Sans"/>
          <w:b/>
          <w:sz w:val="22"/>
          <w:szCs w:val="22"/>
        </w:rPr>
        <w:t>K</w:t>
      </w:r>
      <w:r w:rsidR="00E67FE4" w:rsidRPr="004B0E2A">
        <w:rPr>
          <w:rFonts w:ascii="Open Sans" w:hAnsi="Open Sans" w:cs="Open Sans"/>
          <w:b/>
          <w:sz w:val="22"/>
          <w:szCs w:val="22"/>
        </w:rPr>
        <w:t>atalog wydatków kwalifikowalnych</w:t>
      </w:r>
    </w:p>
    <w:p w14:paraId="016A426D" w14:textId="264FEE25" w:rsidR="00077F61" w:rsidRPr="00077F61" w:rsidRDefault="00190827" w:rsidP="00812EEC">
      <w:pPr>
        <w:pStyle w:val="Akapitzlist"/>
        <w:numPr>
          <w:ilvl w:val="0"/>
          <w:numId w:val="34"/>
        </w:numPr>
        <w:spacing w:before="120" w:line="360" w:lineRule="auto"/>
        <w:rPr>
          <w:rFonts w:ascii="Open Sans" w:hAnsi="Open Sans" w:cs="Open Sans"/>
          <w:b/>
          <w:sz w:val="22"/>
          <w:szCs w:val="22"/>
        </w:rPr>
      </w:pPr>
      <w:r w:rsidRPr="004B0E2A">
        <w:rPr>
          <w:rFonts w:ascii="Open Sans" w:hAnsi="Open Sans" w:cs="Open Sans"/>
          <w:bCs/>
          <w:sz w:val="22"/>
          <w:szCs w:val="22"/>
        </w:rPr>
        <w:t>Wydatki muszą spełniać wymogi określone w</w:t>
      </w:r>
      <w:r w:rsidR="000D0DDE">
        <w:rPr>
          <w:rFonts w:ascii="Open Sans" w:hAnsi="Open Sans" w:cs="Open Sans"/>
          <w:bCs/>
          <w:sz w:val="22"/>
          <w:szCs w:val="22"/>
        </w:rPr>
        <w:t xml:space="preserve"> </w:t>
      </w:r>
      <w:r w:rsidRPr="004B0E2A">
        <w:rPr>
          <w:rFonts w:ascii="Open Sans" w:hAnsi="Open Sans" w:cs="Open Sans"/>
          <w:b/>
          <w:sz w:val="22"/>
          <w:szCs w:val="22"/>
        </w:rPr>
        <w:t> </w:t>
      </w:r>
      <w:hyperlink r:id="rId8" w:history="1">
        <w:r w:rsidRPr="004B0E2A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wydatków na lata 2021-2027</w:t>
        </w:r>
        <w:r w:rsidRPr="004B0E2A">
          <w:rPr>
            <w:rStyle w:val="Hipercze"/>
            <w:rFonts w:ascii="Open Sans" w:hAnsi="Open Sans" w:cs="Open Sans"/>
            <w:b/>
            <w:sz w:val="22"/>
            <w:szCs w:val="22"/>
          </w:rPr>
          <w:t>.</w:t>
        </w:r>
      </w:hyperlink>
    </w:p>
    <w:p w14:paraId="5189B04C" w14:textId="01E0072F" w:rsidR="00190827" w:rsidRPr="004B0E2A" w:rsidRDefault="00190827" w:rsidP="00812EEC">
      <w:pPr>
        <w:pStyle w:val="Default"/>
        <w:numPr>
          <w:ilvl w:val="0"/>
          <w:numId w:val="34"/>
        </w:numPr>
        <w:spacing w:after="120" w:line="360" w:lineRule="auto"/>
        <w:contextualSpacing/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</w:pPr>
      <w:r w:rsidRPr="004B0E2A"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t xml:space="preserve">Za kwalifikowalne mogą zostać uznane wydatki poniesione na realizację </w:t>
      </w:r>
      <w:r w:rsidRPr="004B0E2A">
        <w:rPr>
          <w:rFonts w:ascii="Open Sans" w:hAnsi="Open Sans" w:cs="Open Sans"/>
          <w:sz w:val="22"/>
          <w:szCs w:val="22"/>
        </w:rPr>
        <w:t>samodzielnych projektów ukierunkowanych na poprawę wiedzy i świadomości społeczeństwa na temat celów i zasad ochrony przyrody oraz wpływu zanieczyszczeń na stan środowiska i zdrowie ludzi. Osiągnięciu tego celu będzie służyło wykorzystanie różnorodnych form i środków przekazu oraz nowoczesnych narzędzi informacyjno-komunikacyjnych i materiałów edukacyjnych.</w:t>
      </w:r>
    </w:p>
    <w:p w14:paraId="2A3D3445" w14:textId="7EA346A0" w:rsidR="00190827" w:rsidRPr="004B0E2A" w:rsidRDefault="00190827" w:rsidP="00812EEC">
      <w:pPr>
        <w:pStyle w:val="Default"/>
        <w:numPr>
          <w:ilvl w:val="0"/>
          <w:numId w:val="34"/>
        </w:numPr>
        <w:spacing w:before="120" w:after="120" w:line="360" w:lineRule="auto"/>
        <w:contextualSpacing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Podatek od towarów i usług (VAT) może stanowić koszt kwalifikowalny projektu. Zasady jego kwalifikowania opisano w </w:t>
      </w:r>
      <w:hyperlink r:id="rId9" w:history="1">
        <w:r w:rsidRPr="004B0E2A">
          <w:rPr>
            <w:rStyle w:val="Hipercze"/>
            <w:rFonts w:ascii="Open Sans" w:hAnsi="Open Sans" w:cs="Open Sans"/>
            <w:sz w:val="22"/>
            <w:szCs w:val="22"/>
          </w:rPr>
          <w:t xml:space="preserve">Wytycznych dotyczących kwalifikowalności wydatków na lata 2021-2027, </w:t>
        </w:r>
      </w:hyperlink>
      <w:r w:rsidRPr="004B0E2A">
        <w:rPr>
          <w:rFonts w:ascii="Open Sans" w:hAnsi="Open Sans" w:cs="Open Sans"/>
          <w:sz w:val="22"/>
          <w:szCs w:val="22"/>
        </w:rPr>
        <w:t>w Podrozdziale 3.5. Podatek od towarów i usług (VAT).</w:t>
      </w:r>
    </w:p>
    <w:p w14:paraId="090AFAAF" w14:textId="33A96E5D" w:rsidR="00190827" w:rsidRPr="004B0E2A" w:rsidRDefault="00190827" w:rsidP="00812EEC">
      <w:pPr>
        <w:pStyle w:val="Default"/>
        <w:numPr>
          <w:ilvl w:val="0"/>
          <w:numId w:val="34"/>
        </w:numPr>
        <w:spacing w:before="120" w:after="120" w:line="360" w:lineRule="auto"/>
        <w:contextualSpacing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Kwalifikowalne będą następujące kategorie kosztów:</w:t>
      </w:r>
    </w:p>
    <w:p w14:paraId="053FC739" w14:textId="3390B5B7" w:rsidR="00190827" w:rsidRPr="004B0E2A" w:rsidRDefault="00652B5A" w:rsidP="00812EEC">
      <w:pPr>
        <w:pStyle w:val="Default"/>
        <w:numPr>
          <w:ilvl w:val="0"/>
          <w:numId w:val="35"/>
        </w:numPr>
        <w:spacing w:before="120" w:after="120" w:line="360" w:lineRule="auto"/>
        <w:contextualSpacing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K</w:t>
      </w:r>
      <w:r w:rsidR="00190827" w:rsidRPr="004B0E2A">
        <w:rPr>
          <w:rFonts w:ascii="Open Sans" w:hAnsi="Open Sans" w:cs="Open Sans"/>
          <w:sz w:val="22"/>
          <w:szCs w:val="22"/>
        </w:rPr>
        <w:t>oszty bezpośrednie:</w:t>
      </w:r>
    </w:p>
    <w:p w14:paraId="449C3D2A" w14:textId="0A0512EE" w:rsidR="00190827" w:rsidRPr="004B0E2A" w:rsidRDefault="00190827" w:rsidP="00812EEC">
      <w:pPr>
        <w:pStyle w:val="Akapitzlist"/>
        <w:numPr>
          <w:ilvl w:val="0"/>
          <w:numId w:val="37"/>
        </w:numPr>
        <w:spacing w:before="120" w:after="120" w:line="360" w:lineRule="auto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wartości niematerialne i prawne: koszty nabyc</w:t>
      </w:r>
      <w:r w:rsidR="00C20B60">
        <w:rPr>
          <w:rFonts w:ascii="Open Sans" w:hAnsi="Open Sans" w:cs="Open Sans"/>
          <w:sz w:val="22"/>
          <w:szCs w:val="22"/>
        </w:rPr>
        <w:t xml:space="preserve">ia i/lub odpłatnego korzystania </w:t>
      </w:r>
      <w:r w:rsidRPr="004B0E2A">
        <w:rPr>
          <w:rFonts w:ascii="Open Sans" w:hAnsi="Open Sans" w:cs="Open Sans"/>
          <w:sz w:val="22"/>
          <w:szCs w:val="22"/>
        </w:rPr>
        <w:t>z wartości niematerialnych i prawnych, oprogramowanie i licencje (bez urządzeń do ich obsługi);</w:t>
      </w:r>
    </w:p>
    <w:p w14:paraId="38E3451B" w14:textId="77777777" w:rsidR="00190827" w:rsidRPr="004B0E2A" w:rsidRDefault="00190827" w:rsidP="00812EEC">
      <w:pPr>
        <w:pStyle w:val="Akapitzlist"/>
        <w:numPr>
          <w:ilvl w:val="0"/>
          <w:numId w:val="37"/>
        </w:numPr>
        <w:spacing w:before="120" w:after="120" w:line="360" w:lineRule="auto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usługi zewnętrzne, w tym np.:</w:t>
      </w:r>
    </w:p>
    <w:p w14:paraId="01DEF647" w14:textId="77777777" w:rsidR="00190827" w:rsidRPr="004B0E2A" w:rsidRDefault="00190827" w:rsidP="00812EEC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koszty związane z organizacją warsztatów, spotkań itp.; </w:t>
      </w:r>
    </w:p>
    <w:p w14:paraId="619AB09F" w14:textId="77777777" w:rsidR="00190827" w:rsidRPr="004B0E2A" w:rsidRDefault="00190827" w:rsidP="00812EEC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usługi informatyczne np. hosting, migracja danych, kolokacja serwerów; </w:t>
      </w:r>
    </w:p>
    <w:p w14:paraId="0676B1C3" w14:textId="77777777" w:rsidR="00190827" w:rsidRPr="004B0E2A" w:rsidRDefault="00190827" w:rsidP="00812EEC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usługi/działania w zakresie informacji, promocji, marketingu; </w:t>
      </w:r>
    </w:p>
    <w:p w14:paraId="76A6B9AC" w14:textId="4449E4CA" w:rsidR="00190827" w:rsidRPr="004B0E2A" w:rsidRDefault="00190827" w:rsidP="00812EEC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usługi doradcze, koszty ekspertó</w:t>
      </w:r>
      <w:r w:rsidR="00C20B60">
        <w:rPr>
          <w:rFonts w:ascii="Open Sans" w:hAnsi="Open Sans" w:cs="Open Sans"/>
          <w:sz w:val="22"/>
          <w:szCs w:val="22"/>
        </w:rPr>
        <w:t xml:space="preserve">w zewnętrznych, koszty związane </w:t>
      </w:r>
      <w:r w:rsidRPr="004B0E2A">
        <w:rPr>
          <w:rFonts w:ascii="Open Sans" w:hAnsi="Open Sans" w:cs="Open Sans"/>
          <w:sz w:val="22"/>
          <w:szCs w:val="22"/>
        </w:rPr>
        <w:t xml:space="preserve">z realizacją badań i analiz; </w:t>
      </w:r>
    </w:p>
    <w:p w14:paraId="752DE295" w14:textId="77777777" w:rsidR="00190827" w:rsidRPr="004B0E2A" w:rsidRDefault="00190827" w:rsidP="00812EEC">
      <w:pPr>
        <w:pStyle w:val="Akapitzlist"/>
        <w:numPr>
          <w:ilvl w:val="0"/>
          <w:numId w:val="38"/>
        </w:numPr>
        <w:spacing w:before="120" w:after="120" w:line="360" w:lineRule="auto"/>
        <w:ind w:left="2552" w:hanging="284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catering i usługa hotelarska</w:t>
      </w:r>
    </w:p>
    <w:p w14:paraId="7C5A6BEE" w14:textId="77777777" w:rsidR="00190827" w:rsidRPr="004B0E2A" w:rsidRDefault="00190827" w:rsidP="00812EEC">
      <w:pPr>
        <w:pStyle w:val="Akapitzlist"/>
        <w:numPr>
          <w:ilvl w:val="0"/>
          <w:numId w:val="37"/>
        </w:numPr>
        <w:spacing w:before="120" w:after="120" w:line="360" w:lineRule="auto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środki trwałe/ dostawy; </w:t>
      </w:r>
    </w:p>
    <w:p w14:paraId="33EB88C4" w14:textId="77777777" w:rsidR="00190827" w:rsidRPr="004B0E2A" w:rsidRDefault="00190827" w:rsidP="00812EEC">
      <w:pPr>
        <w:pStyle w:val="Akapitzlist"/>
        <w:numPr>
          <w:ilvl w:val="0"/>
          <w:numId w:val="37"/>
        </w:numPr>
        <w:spacing w:before="120" w:after="120" w:line="360" w:lineRule="auto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lastRenderedPageBreak/>
        <w:t xml:space="preserve">dostawy (inne niż środki trwałe); </w:t>
      </w:r>
    </w:p>
    <w:p w14:paraId="6DEA920E" w14:textId="761C3C6A" w:rsidR="00190827" w:rsidRPr="004B0E2A" w:rsidRDefault="00190827" w:rsidP="00812EEC">
      <w:pPr>
        <w:pStyle w:val="Akapitzlist"/>
        <w:numPr>
          <w:ilvl w:val="0"/>
          <w:numId w:val="37"/>
        </w:numPr>
        <w:spacing w:before="120" w:after="120" w:line="360" w:lineRule="auto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koszty wsparcia uczestników proj</w:t>
      </w:r>
      <w:r w:rsidR="00077F61">
        <w:rPr>
          <w:rFonts w:ascii="Open Sans" w:hAnsi="Open Sans" w:cs="Open Sans"/>
          <w:sz w:val="22"/>
          <w:szCs w:val="22"/>
        </w:rPr>
        <w:t>ektu w zakresie kosztów podróży</w:t>
      </w:r>
      <w:r w:rsidR="00077F61">
        <w:rPr>
          <w:rFonts w:ascii="Open Sans" w:hAnsi="Open Sans" w:cs="Open Sans"/>
          <w:sz w:val="22"/>
          <w:szCs w:val="22"/>
        </w:rPr>
        <w:br/>
      </w:r>
      <w:r w:rsidRPr="004B0E2A">
        <w:rPr>
          <w:rFonts w:ascii="Open Sans" w:hAnsi="Open Sans" w:cs="Open Sans"/>
          <w:sz w:val="22"/>
          <w:szCs w:val="22"/>
        </w:rPr>
        <w:t>i zakwaterowania</w:t>
      </w:r>
      <w:r w:rsidR="00D87BD9">
        <w:rPr>
          <w:rFonts w:ascii="Open Sans" w:hAnsi="Open Sans" w:cs="Open Sans"/>
          <w:sz w:val="22"/>
          <w:szCs w:val="22"/>
        </w:rPr>
        <w:t>;</w:t>
      </w:r>
      <w:r w:rsidRPr="004B0E2A">
        <w:rPr>
          <w:rFonts w:ascii="Open Sans" w:hAnsi="Open Sans" w:cs="Open Sans"/>
          <w:sz w:val="22"/>
          <w:szCs w:val="22"/>
        </w:rPr>
        <w:t xml:space="preserve"> </w:t>
      </w:r>
    </w:p>
    <w:p w14:paraId="13246388" w14:textId="12A9C123" w:rsidR="00190827" w:rsidRPr="004B0E2A" w:rsidRDefault="00190827" w:rsidP="00812EEC">
      <w:pPr>
        <w:pStyle w:val="Akapitzlist"/>
        <w:numPr>
          <w:ilvl w:val="0"/>
          <w:numId w:val="37"/>
        </w:numPr>
        <w:spacing w:before="120" w:after="120" w:line="360" w:lineRule="auto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personel projektu.</w:t>
      </w:r>
    </w:p>
    <w:p w14:paraId="0E2901A5" w14:textId="31662B3B" w:rsidR="00190827" w:rsidRPr="00652B5A" w:rsidRDefault="00190827" w:rsidP="00812EEC">
      <w:pPr>
        <w:pStyle w:val="Akapitzlist"/>
        <w:numPr>
          <w:ilvl w:val="0"/>
          <w:numId w:val="35"/>
        </w:numPr>
        <w:spacing w:before="120" w:after="120" w:line="360" w:lineRule="auto"/>
        <w:rPr>
          <w:rFonts w:ascii="Open Sans" w:hAnsi="Open Sans" w:cs="Open Sans"/>
          <w:sz w:val="22"/>
          <w:szCs w:val="22"/>
        </w:rPr>
      </w:pPr>
      <w:r w:rsidRPr="00652B5A">
        <w:rPr>
          <w:rFonts w:ascii="Open Sans" w:hAnsi="Open Sans" w:cs="Open Sans"/>
          <w:bCs/>
          <w:sz w:val="22"/>
          <w:szCs w:val="22"/>
        </w:rPr>
        <w:t>Kosz</w:t>
      </w:r>
      <w:r w:rsidR="00652B5A">
        <w:rPr>
          <w:rFonts w:ascii="Open Sans" w:hAnsi="Open Sans" w:cs="Open Sans"/>
          <w:bCs/>
          <w:sz w:val="22"/>
          <w:szCs w:val="22"/>
        </w:rPr>
        <w:t xml:space="preserve">ty pośrednie, o których mowa w </w:t>
      </w:r>
      <w:r w:rsidRPr="00652B5A">
        <w:rPr>
          <w:rFonts w:ascii="Open Sans" w:hAnsi="Open Sans" w:cs="Open Sans"/>
          <w:bCs/>
          <w:sz w:val="22"/>
          <w:szCs w:val="22"/>
        </w:rPr>
        <w:t xml:space="preserve">Podrozdziale 3.12. </w:t>
      </w:r>
      <w:hyperlink r:id="rId10" w:history="1">
        <w:r w:rsidRPr="00652B5A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Pr="00652B5A">
        <w:rPr>
          <w:rFonts w:ascii="Open Sans" w:hAnsi="Open Sans" w:cs="Open Sans"/>
          <w:bCs/>
          <w:sz w:val="22"/>
          <w:szCs w:val="22"/>
        </w:rPr>
        <w:t xml:space="preserve"> zostały wyszczególnione w Katalogu kosztów pośrednich stanowiącym </w:t>
      </w:r>
      <w:r w:rsidRPr="00613154">
        <w:rPr>
          <w:rFonts w:ascii="Open Sans" w:hAnsi="Open Sans" w:cs="Open Sans"/>
          <w:bCs/>
          <w:sz w:val="22"/>
          <w:szCs w:val="22"/>
        </w:rPr>
        <w:t>załącznik nr </w:t>
      </w:r>
      <w:r w:rsidR="00613154" w:rsidRPr="00613154">
        <w:rPr>
          <w:rFonts w:ascii="Open Sans" w:hAnsi="Open Sans" w:cs="Open Sans"/>
          <w:bCs/>
          <w:sz w:val="22"/>
          <w:szCs w:val="22"/>
        </w:rPr>
        <w:t>6</w:t>
      </w:r>
      <w:r w:rsidRPr="00613154">
        <w:rPr>
          <w:rFonts w:ascii="Open Sans" w:hAnsi="Open Sans" w:cs="Open Sans"/>
          <w:bCs/>
          <w:sz w:val="22"/>
          <w:szCs w:val="22"/>
        </w:rPr>
        <w:t> do Regulaminu</w:t>
      </w:r>
      <w:r w:rsidRPr="00652B5A">
        <w:rPr>
          <w:rFonts w:ascii="Open Sans" w:hAnsi="Open Sans" w:cs="Open Sans"/>
          <w:bCs/>
          <w:sz w:val="22"/>
          <w:szCs w:val="22"/>
        </w:rPr>
        <w:t xml:space="preserve"> naboru. </w:t>
      </w:r>
    </w:p>
    <w:p w14:paraId="5630D4AE" w14:textId="77777777" w:rsidR="00190827" w:rsidRPr="004B0E2A" w:rsidRDefault="00190827" w:rsidP="00812EEC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Niedopuszczalna jest sytuacja, w której koszty pośrednie zostaną rozliczone w ramach kosztów bezpośrednich.</w:t>
      </w:r>
    </w:p>
    <w:p w14:paraId="7422C6D4" w14:textId="77777777" w:rsidR="00190827" w:rsidRPr="004B0E2A" w:rsidRDefault="00190827" w:rsidP="00812EEC">
      <w:pPr>
        <w:pStyle w:val="Default"/>
        <w:numPr>
          <w:ilvl w:val="0"/>
          <w:numId w:val="34"/>
        </w:numPr>
        <w:spacing w:before="120" w:after="120" w:line="360" w:lineRule="auto"/>
        <w:contextualSpacing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W ramach projektów nie będą kwalifikowalne m.in.:</w:t>
      </w:r>
    </w:p>
    <w:p w14:paraId="30AE4F95" w14:textId="77777777" w:rsidR="00190827" w:rsidRPr="004B0E2A" w:rsidRDefault="00190827" w:rsidP="00812EEC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koszty </w:t>
      </w:r>
      <w:r w:rsidRPr="004B0E2A">
        <w:rPr>
          <w:rFonts w:ascii="Open Sans" w:hAnsi="Open Sans" w:cs="Open Sans"/>
          <w:bCs/>
          <w:sz w:val="22"/>
          <w:szCs w:val="22"/>
        </w:rPr>
        <w:t>dotyczące robót i materiałów budowlanych;</w:t>
      </w:r>
    </w:p>
    <w:p w14:paraId="2A2FE0AB" w14:textId="77777777" w:rsidR="00190827" w:rsidRPr="004B0E2A" w:rsidRDefault="00190827" w:rsidP="00812EEC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bCs/>
          <w:sz w:val="22"/>
          <w:szCs w:val="22"/>
        </w:rPr>
        <w:t>opłaty finansowe;</w:t>
      </w:r>
    </w:p>
    <w:p w14:paraId="09CADC49" w14:textId="1B60787F" w:rsidR="00190827" w:rsidRPr="004B0E2A" w:rsidRDefault="00190827" w:rsidP="00812EEC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rPr>
          <w:rFonts w:ascii="Open Sans" w:hAnsi="Open Sans" w:cs="Open Sans"/>
          <w:bCs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w</w:t>
      </w:r>
      <w:r w:rsidR="00652B5A">
        <w:rPr>
          <w:rFonts w:ascii="Open Sans" w:hAnsi="Open Sans" w:cs="Open Sans"/>
          <w:sz w:val="22"/>
          <w:szCs w:val="22"/>
        </w:rPr>
        <w:t>kład niepieniężny</w:t>
      </w:r>
      <w:r w:rsidRPr="004B0E2A">
        <w:rPr>
          <w:rFonts w:ascii="Open Sans" w:hAnsi="Open Sans" w:cs="Open Sans"/>
          <w:bCs/>
          <w:sz w:val="22"/>
          <w:szCs w:val="22"/>
        </w:rPr>
        <w:t>;</w:t>
      </w:r>
    </w:p>
    <w:p w14:paraId="4671A008" w14:textId="77777777" w:rsidR="00190827" w:rsidRPr="004B0E2A" w:rsidRDefault="00190827" w:rsidP="00812EEC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koszty związane z zakupem nieruchomości;</w:t>
      </w:r>
    </w:p>
    <w:p w14:paraId="10151FA3" w14:textId="77777777" w:rsidR="00190827" w:rsidRPr="004B0E2A" w:rsidRDefault="00190827" w:rsidP="00812EEC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koszty związane z nabyciem prawa użytkowania wieczystego i innych tytułów prawnych do nieruchomości;</w:t>
      </w:r>
    </w:p>
    <w:p w14:paraId="156B63B2" w14:textId="77777777" w:rsidR="00190827" w:rsidRDefault="00190827" w:rsidP="00812EEC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koszty dotyczące nadzoru/ zarządzania inwestycją;</w:t>
      </w:r>
    </w:p>
    <w:p w14:paraId="0E951156" w14:textId="3AD78378" w:rsidR="001E09CB" w:rsidRPr="004B0E2A" w:rsidRDefault="001E09CB" w:rsidP="00812EEC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koszty nabycia środków transportu;</w:t>
      </w:r>
    </w:p>
    <w:p w14:paraId="45CE7FD9" w14:textId="77777777" w:rsidR="00190827" w:rsidRPr="004B0E2A" w:rsidRDefault="00190827" w:rsidP="00812EEC">
      <w:pPr>
        <w:pStyle w:val="Default"/>
        <w:numPr>
          <w:ilvl w:val="0"/>
          <w:numId w:val="36"/>
        </w:numPr>
        <w:spacing w:before="120" w:after="120" w:line="360" w:lineRule="auto"/>
        <w:ind w:left="1080"/>
        <w:contextualSpacing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>amortyzacja i leasing środków trwałych.</w:t>
      </w:r>
    </w:p>
    <w:p w14:paraId="43FA6D2F" w14:textId="2FEDC55F" w:rsidR="00110E12" w:rsidRPr="00652B5A" w:rsidRDefault="00190827" w:rsidP="00812EEC">
      <w:pPr>
        <w:spacing w:before="120" w:after="120" w:line="360" w:lineRule="auto"/>
        <w:contextualSpacing/>
        <w:rPr>
          <w:rFonts w:ascii="Open Sans" w:hAnsi="Open Sans" w:cs="Open Sans"/>
          <w:sz w:val="22"/>
          <w:szCs w:val="22"/>
        </w:rPr>
      </w:pPr>
      <w:r w:rsidRPr="004B0E2A">
        <w:rPr>
          <w:rFonts w:ascii="Open Sans" w:hAnsi="Open Sans" w:cs="Open Sans"/>
          <w:sz w:val="22"/>
          <w:szCs w:val="22"/>
        </w:rPr>
        <w:t xml:space="preserve">Dodatkowo, wydatkami niekwalifikowalnymi są wydatki wskazane w art. 64 rozporządzenia ogólnego, art. 7 ust. 1 i 5 rozporządzenia EFRR i FS, oraz </w:t>
      </w:r>
      <w:bookmarkStart w:id="0" w:name="_Hlk143602395"/>
      <w:r w:rsidRPr="004B0E2A">
        <w:rPr>
          <w:rFonts w:ascii="Open Sans" w:hAnsi="Open Sans" w:cs="Open Sans"/>
          <w:sz w:val="22"/>
          <w:szCs w:val="22"/>
        </w:rPr>
        <w:t xml:space="preserve">podrozdziale 2.3. Wydatki niekwalifikowalne </w:t>
      </w:r>
      <w:hyperlink r:id="rId11" w:history="1">
        <w:r w:rsidRPr="004B0E2A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na lata 2021-2027</w:t>
        </w:r>
      </w:hyperlink>
      <w:bookmarkEnd w:id="0"/>
      <w:r w:rsidRPr="004B0E2A">
        <w:rPr>
          <w:rFonts w:ascii="Open Sans" w:hAnsi="Open Sans" w:cs="Open Sans"/>
          <w:sz w:val="22"/>
          <w:szCs w:val="22"/>
        </w:rPr>
        <w:t>.</w:t>
      </w:r>
    </w:p>
    <w:sectPr w:rsidR="00110E12" w:rsidRPr="00652B5A" w:rsidSect="00515FB1">
      <w:footerReference w:type="even" r:id="rId12"/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D2B1E" w14:textId="77777777" w:rsidR="007A3A6C" w:rsidRDefault="007A3A6C">
      <w:r>
        <w:separator/>
      </w:r>
    </w:p>
  </w:endnote>
  <w:endnote w:type="continuationSeparator" w:id="0">
    <w:p w14:paraId="28C0E6C8" w14:textId="77777777" w:rsidR="007A3A6C" w:rsidRDefault="007A3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3554E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C7510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685C7" w14:textId="152840C8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20B6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26D63E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F5777" w14:textId="77777777" w:rsidR="007A3A6C" w:rsidRDefault="007A3A6C">
      <w:r>
        <w:separator/>
      </w:r>
    </w:p>
  </w:footnote>
  <w:footnote w:type="continuationSeparator" w:id="0">
    <w:p w14:paraId="7629433D" w14:textId="77777777" w:rsidR="007A3A6C" w:rsidRDefault="007A3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0C7C6" w14:textId="51EB155F" w:rsidR="00FC73C9" w:rsidRDefault="00FC78A3">
    <w:pPr>
      <w:pStyle w:val="Nagwek"/>
    </w:pPr>
    <w:r>
      <w:rPr>
        <w:noProof/>
      </w:rPr>
      <w:drawing>
        <wp:inline distT="0" distB="0" distL="0" distR="0" wp14:anchorId="0840168B" wp14:editId="7140CEA4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5A46"/>
    <w:multiLevelType w:val="hybridMultilevel"/>
    <w:tmpl w:val="CCA43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E425D"/>
    <w:multiLevelType w:val="hybridMultilevel"/>
    <w:tmpl w:val="95E03F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4" w15:restartNumberingAfterBreak="0">
    <w:nsid w:val="075E631A"/>
    <w:multiLevelType w:val="hybridMultilevel"/>
    <w:tmpl w:val="2ADED4A8"/>
    <w:lvl w:ilvl="0" w:tplc="EDEAD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B77D73"/>
    <w:multiLevelType w:val="hybridMultilevel"/>
    <w:tmpl w:val="6B306D66"/>
    <w:lvl w:ilvl="0" w:tplc="1464A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658FB"/>
    <w:multiLevelType w:val="hybridMultilevel"/>
    <w:tmpl w:val="17EAC2E2"/>
    <w:lvl w:ilvl="0" w:tplc="F7F2829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ED66A9"/>
    <w:multiLevelType w:val="hybridMultilevel"/>
    <w:tmpl w:val="A0AEA59E"/>
    <w:lvl w:ilvl="0" w:tplc="05DE5FC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72F0E"/>
    <w:multiLevelType w:val="hybridMultilevel"/>
    <w:tmpl w:val="3502ED72"/>
    <w:lvl w:ilvl="0" w:tplc="0ACA2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C84835"/>
    <w:multiLevelType w:val="hybridMultilevel"/>
    <w:tmpl w:val="59F4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414CE"/>
    <w:multiLevelType w:val="hybridMultilevel"/>
    <w:tmpl w:val="C5B67610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300E3E1B"/>
    <w:multiLevelType w:val="hybridMultilevel"/>
    <w:tmpl w:val="1DFA5F00"/>
    <w:lvl w:ilvl="0" w:tplc="E746F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433FC"/>
    <w:multiLevelType w:val="hybridMultilevel"/>
    <w:tmpl w:val="2934234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E1CA9"/>
    <w:multiLevelType w:val="hybridMultilevel"/>
    <w:tmpl w:val="272299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23FF8"/>
    <w:multiLevelType w:val="hybridMultilevel"/>
    <w:tmpl w:val="D59C5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58F6586"/>
    <w:multiLevelType w:val="hybridMultilevel"/>
    <w:tmpl w:val="92B235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B387AD4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1C3A66A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057C7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A472E"/>
    <w:multiLevelType w:val="hybridMultilevel"/>
    <w:tmpl w:val="E8DE2CBE"/>
    <w:lvl w:ilvl="0" w:tplc="C7F24582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352F83"/>
    <w:multiLevelType w:val="hybridMultilevel"/>
    <w:tmpl w:val="E7A89D30"/>
    <w:lvl w:ilvl="0" w:tplc="C7F24582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825BD7"/>
    <w:multiLevelType w:val="hybridMultilevel"/>
    <w:tmpl w:val="2A161112"/>
    <w:lvl w:ilvl="0" w:tplc="0415001B">
      <w:start w:val="1"/>
      <w:numFmt w:val="lowerRoman"/>
      <w:lvlText w:val="%1."/>
      <w:lvlJc w:val="right"/>
      <w:pPr>
        <w:ind w:left="248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7" w15:restartNumberingAfterBreak="0">
    <w:nsid w:val="58771F0C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8" w15:restartNumberingAfterBreak="0">
    <w:nsid w:val="5BE9412A"/>
    <w:multiLevelType w:val="hybridMultilevel"/>
    <w:tmpl w:val="24F8C760"/>
    <w:lvl w:ilvl="0" w:tplc="397834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27B0F"/>
    <w:multiLevelType w:val="hybridMultilevel"/>
    <w:tmpl w:val="03507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F896392"/>
    <w:multiLevelType w:val="hybridMultilevel"/>
    <w:tmpl w:val="86946F70"/>
    <w:lvl w:ilvl="0" w:tplc="9440EA0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637E57"/>
    <w:multiLevelType w:val="hybridMultilevel"/>
    <w:tmpl w:val="B5529342"/>
    <w:lvl w:ilvl="0" w:tplc="306CE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3005572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3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A34885"/>
    <w:multiLevelType w:val="hybridMultilevel"/>
    <w:tmpl w:val="B048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C82062"/>
    <w:multiLevelType w:val="hybridMultilevel"/>
    <w:tmpl w:val="02829F5A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B55587"/>
    <w:multiLevelType w:val="hybridMultilevel"/>
    <w:tmpl w:val="A3A68B8E"/>
    <w:lvl w:ilvl="0" w:tplc="664CE56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16315A"/>
    <w:multiLevelType w:val="hybridMultilevel"/>
    <w:tmpl w:val="C84CBBFC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1" w15:restartNumberingAfterBreak="0">
    <w:nsid w:val="7F315020"/>
    <w:multiLevelType w:val="hybridMultilevel"/>
    <w:tmpl w:val="3FDE9FA0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870648690">
    <w:abstractNumId w:val="18"/>
  </w:num>
  <w:num w:numId="2" w16cid:durableId="1908103546">
    <w:abstractNumId w:val="35"/>
  </w:num>
  <w:num w:numId="3" w16cid:durableId="1844738041">
    <w:abstractNumId w:val="6"/>
  </w:num>
  <w:num w:numId="4" w16cid:durableId="332877404">
    <w:abstractNumId w:val="3"/>
  </w:num>
  <w:num w:numId="5" w16cid:durableId="831409479">
    <w:abstractNumId w:val="29"/>
  </w:num>
  <w:num w:numId="6" w16cid:durableId="242222588">
    <w:abstractNumId w:val="28"/>
  </w:num>
  <w:num w:numId="7" w16cid:durableId="1032415783">
    <w:abstractNumId w:val="21"/>
  </w:num>
  <w:num w:numId="8" w16cid:durableId="1445617278">
    <w:abstractNumId w:val="9"/>
  </w:num>
  <w:num w:numId="9" w16cid:durableId="644897973">
    <w:abstractNumId w:val="22"/>
  </w:num>
  <w:num w:numId="10" w16cid:durableId="911701846">
    <w:abstractNumId w:val="38"/>
  </w:num>
  <w:num w:numId="11" w16cid:durableId="606623798">
    <w:abstractNumId w:val="20"/>
  </w:num>
  <w:num w:numId="12" w16cid:durableId="1004820676">
    <w:abstractNumId w:val="33"/>
  </w:num>
  <w:num w:numId="13" w16cid:durableId="699013311">
    <w:abstractNumId w:val="17"/>
  </w:num>
  <w:num w:numId="14" w16cid:durableId="283464816">
    <w:abstractNumId w:val="25"/>
  </w:num>
  <w:num w:numId="15" w16cid:durableId="1770344159">
    <w:abstractNumId w:val="37"/>
  </w:num>
  <w:num w:numId="16" w16cid:durableId="2051227748">
    <w:abstractNumId w:val="34"/>
  </w:num>
  <w:num w:numId="17" w16cid:durableId="1818036058">
    <w:abstractNumId w:val="14"/>
  </w:num>
  <w:num w:numId="18" w16cid:durableId="811212446">
    <w:abstractNumId w:val="16"/>
  </w:num>
  <w:num w:numId="19" w16cid:durableId="2048799970">
    <w:abstractNumId w:val="30"/>
  </w:num>
  <w:num w:numId="20" w16cid:durableId="312221389">
    <w:abstractNumId w:val="31"/>
  </w:num>
  <w:num w:numId="21" w16cid:durableId="1434326284">
    <w:abstractNumId w:val="5"/>
  </w:num>
  <w:num w:numId="22" w16cid:durableId="1465929014">
    <w:abstractNumId w:val="4"/>
  </w:num>
  <w:num w:numId="23" w16cid:durableId="261426357">
    <w:abstractNumId w:val="8"/>
  </w:num>
  <w:num w:numId="24" w16cid:durableId="1998223804">
    <w:abstractNumId w:val="7"/>
  </w:num>
  <w:num w:numId="25" w16cid:durableId="2134857428">
    <w:abstractNumId w:val="11"/>
  </w:num>
  <w:num w:numId="26" w16cid:durableId="910652199">
    <w:abstractNumId w:val="26"/>
  </w:num>
  <w:num w:numId="27" w16cid:durableId="697589325">
    <w:abstractNumId w:val="10"/>
  </w:num>
  <w:num w:numId="28" w16cid:durableId="1318798908">
    <w:abstractNumId w:val="32"/>
  </w:num>
  <w:num w:numId="29" w16cid:durableId="297685758">
    <w:abstractNumId w:val="27"/>
  </w:num>
  <w:num w:numId="30" w16cid:durableId="1721708168">
    <w:abstractNumId w:val="19"/>
  </w:num>
  <w:num w:numId="31" w16cid:durableId="265116815">
    <w:abstractNumId w:val="0"/>
  </w:num>
  <w:num w:numId="32" w16cid:durableId="50664694">
    <w:abstractNumId w:val="13"/>
  </w:num>
  <w:num w:numId="33" w16cid:durableId="645668235">
    <w:abstractNumId w:val="15"/>
  </w:num>
  <w:num w:numId="34" w16cid:durableId="2097094392">
    <w:abstractNumId w:val="24"/>
  </w:num>
  <w:num w:numId="35" w16cid:durableId="1643076123">
    <w:abstractNumId w:val="1"/>
  </w:num>
  <w:num w:numId="36" w16cid:durableId="1745109455">
    <w:abstractNumId w:val="41"/>
  </w:num>
  <w:num w:numId="37" w16cid:durableId="1126896462">
    <w:abstractNumId w:val="40"/>
  </w:num>
  <w:num w:numId="38" w16cid:durableId="871769349">
    <w:abstractNumId w:val="36"/>
  </w:num>
  <w:num w:numId="39" w16cid:durableId="673071095">
    <w:abstractNumId w:val="12"/>
  </w:num>
  <w:num w:numId="40" w16cid:durableId="1754739408">
    <w:abstractNumId w:val="23"/>
  </w:num>
  <w:num w:numId="41" w16cid:durableId="1478188154">
    <w:abstractNumId w:val="2"/>
  </w:num>
  <w:num w:numId="42" w16cid:durableId="840656380">
    <w:abstractNumId w:val="3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D36"/>
    <w:rsid w:val="00002DA9"/>
    <w:rsid w:val="000216E0"/>
    <w:rsid w:val="00025496"/>
    <w:rsid w:val="00025672"/>
    <w:rsid w:val="000277D6"/>
    <w:rsid w:val="0003168B"/>
    <w:rsid w:val="0003222E"/>
    <w:rsid w:val="00037FB3"/>
    <w:rsid w:val="000405C8"/>
    <w:rsid w:val="00044D24"/>
    <w:rsid w:val="0005402A"/>
    <w:rsid w:val="00056687"/>
    <w:rsid w:val="000569EF"/>
    <w:rsid w:val="0006577B"/>
    <w:rsid w:val="000721D3"/>
    <w:rsid w:val="00077F61"/>
    <w:rsid w:val="00093736"/>
    <w:rsid w:val="000A5996"/>
    <w:rsid w:val="000B0C70"/>
    <w:rsid w:val="000C163C"/>
    <w:rsid w:val="000D0528"/>
    <w:rsid w:val="000D0DDE"/>
    <w:rsid w:val="000D7B56"/>
    <w:rsid w:val="000E118C"/>
    <w:rsid w:val="000E6EF7"/>
    <w:rsid w:val="000F2EDA"/>
    <w:rsid w:val="00100409"/>
    <w:rsid w:val="0010496B"/>
    <w:rsid w:val="0011035B"/>
    <w:rsid w:val="00110E12"/>
    <w:rsid w:val="00111BD6"/>
    <w:rsid w:val="00114803"/>
    <w:rsid w:val="00124AE7"/>
    <w:rsid w:val="00124FBD"/>
    <w:rsid w:val="00125078"/>
    <w:rsid w:val="00163C1D"/>
    <w:rsid w:val="001668BF"/>
    <w:rsid w:val="001724FB"/>
    <w:rsid w:val="001726B0"/>
    <w:rsid w:val="001756E8"/>
    <w:rsid w:val="00190827"/>
    <w:rsid w:val="001A164F"/>
    <w:rsid w:val="001D6EC4"/>
    <w:rsid w:val="001E09CB"/>
    <w:rsid w:val="001F1DCB"/>
    <w:rsid w:val="00204174"/>
    <w:rsid w:val="0021751B"/>
    <w:rsid w:val="00221C08"/>
    <w:rsid w:val="002229BB"/>
    <w:rsid w:val="002469D2"/>
    <w:rsid w:val="00252CCB"/>
    <w:rsid w:val="002621E1"/>
    <w:rsid w:val="00263CAE"/>
    <w:rsid w:val="0026656D"/>
    <w:rsid w:val="002735BD"/>
    <w:rsid w:val="00275FCB"/>
    <w:rsid w:val="002764E9"/>
    <w:rsid w:val="002A6ED0"/>
    <w:rsid w:val="002B2B8F"/>
    <w:rsid w:val="002B3E88"/>
    <w:rsid w:val="002B5B4D"/>
    <w:rsid w:val="002C54BE"/>
    <w:rsid w:val="002E233A"/>
    <w:rsid w:val="002F12B7"/>
    <w:rsid w:val="00310052"/>
    <w:rsid w:val="003238A5"/>
    <w:rsid w:val="003248A9"/>
    <w:rsid w:val="00330878"/>
    <w:rsid w:val="0034577C"/>
    <w:rsid w:val="003561E8"/>
    <w:rsid w:val="00356DDA"/>
    <w:rsid w:val="00357F5D"/>
    <w:rsid w:val="00361588"/>
    <w:rsid w:val="00375BF8"/>
    <w:rsid w:val="003771FC"/>
    <w:rsid w:val="003A2536"/>
    <w:rsid w:val="003B05B3"/>
    <w:rsid w:val="003B068C"/>
    <w:rsid w:val="003B5428"/>
    <w:rsid w:val="003B5F58"/>
    <w:rsid w:val="003C02BB"/>
    <w:rsid w:val="003C2181"/>
    <w:rsid w:val="003D0734"/>
    <w:rsid w:val="003D0CB1"/>
    <w:rsid w:val="003D4654"/>
    <w:rsid w:val="003E70AC"/>
    <w:rsid w:val="003F0256"/>
    <w:rsid w:val="003F05B5"/>
    <w:rsid w:val="003F3F07"/>
    <w:rsid w:val="00404524"/>
    <w:rsid w:val="00420428"/>
    <w:rsid w:val="00420E66"/>
    <w:rsid w:val="00446211"/>
    <w:rsid w:val="004468EF"/>
    <w:rsid w:val="00447A90"/>
    <w:rsid w:val="00451E4C"/>
    <w:rsid w:val="00475128"/>
    <w:rsid w:val="004774B5"/>
    <w:rsid w:val="00477AAA"/>
    <w:rsid w:val="00480C3B"/>
    <w:rsid w:val="00494512"/>
    <w:rsid w:val="004A3A57"/>
    <w:rsid w:val="004A7CBF"/>
    <w:rsid w:val="004B0E2A"/>
    <w:rsid w:val="004B1413"/>
    <w:rsid w:val="004C1069"/>
    <w:rsid w:val="004D0F57"/>
    <w:rsid w:val="004D30E9"/>
    <w:rsid w:val="004E7E66"/>
    <w:rsid w:val="004F0C1C"/>
    <w:rsid w:val="004F21F6"/>
    <w:rsid w:val="004F4386"/>
    <w:rsid w:val="004F68FF"/>
    <w:rsid w:val="00504E7D"/>
    <w:rsid w:val="00514C72"/>
    <w:rsid w:val="00514D52"/>
    <w:rsid w:val="00515FB1"/>
    <w:rsid w:val="0052160E"/>
    <w:rsid w:val="00532485"/>
    <w:rsid w:val="00535A3B"/>
    <w:rsid w:val="005446C4"/>
    <w:rsid w:val="005574BF"/>
    <w:rsid w:val="00557D4D"/>
    <w:rsid w:val="00560CCE"/>
    <w:rsid w:val="00563BE4"/>
    <w:rsid w:val="00563EB2"/>
    <w:rsid w:val="00565CF2"/>
    <w:rsid w:val="00572B38"/>
    <w:rsid w:val="0059431B"/>
    <w:rsid w:val="005A3F19"/>
    <w:rsid w:val="005B4CE6"/>
    <w:rsid w:val="005C4235"/>
    <w:rsid w:val="005C6281"/>
    <w:rsid w:val="005D493E"/>
    <w:rsid w:val="005D60BB"/>
    <w:rsid w:val="005E338E"/>
    <w:rsid w:val="005F38F5"/>
    <w:rsid w:val="005F749F"/>
    <w:rsid w:val="00611D36"/>
    <w:rsid w:val="00613154"/>
    <w:rsid w:val="0061452C"/>
    <w:rsid w:val="00634B36"/>
    <w:rsid w:val="006373C2"/>
    <w:rsid w:val="00640304"/>
    <w:rsid w:val="00646DC4"/>
    <w:rsid w:val="00647D8D"/>
    <w:rsid w:val="00652B5A"/>
    <w:rsid w:val="00657C9A"/>
    <w:rsid w:val="00661BB7"/>
    <w:rsid w:val="00662F2D"/>
    <w:rsid w:val="006704D2"/>
    <w:rsid w:val="00680491"/>
    <w:rsid w:val="006826C2"/>
    <w:rsid w:val="00691195"/>
    <w:rsid w:val="00692829"/>
    <w:rsid w:val="00695B47"/>
    <w:rsid w:val="006A4000"/>
    <w:rsid w:val="006B1A7D"/>
    <w:rsid w:val="006B6BCE"/>
    <w:rsid w:val="006D6210"/>
    <w:rsid w:val="006E0B98"/>
    <w:rsid w:val="006F525D"/>
    <w:rsid w:val="006F69A1"/>
    <w:rsid w:val="006F6A5C"/>
    <w:rsid w:val="00704536"/>
    <w:rsid w:val="007642CF"/>
    <w:rsid w:val="00765E08"/>
    <w:rsid w:val="0077016A"/>
    <w:rsid w:val="007708B9"/>
    <w:rsid w:val="007738B4"/>
    <w:rsid w:val="00777666"/>
    <w:rsid w:val="007874E3"/>
    <w:rsid w:val="007969C6"/>
    <w:rsid w:val="007A3A6C"/>
    <w:rsid w:val="007B1DC1"/>
    <w:rsid w:val="007B53F1"/>
    <w:rsid w:val="007D410F"/>
    <w:rsid w:val="007E255C"/>
    <w:rsid w:val="007F786B"/>
    <w:rsid w:val="0080075D"/>
    <w:rsid w:val="00806ABC"/>
    <w:rsid w:val="00812EEC"/>
    <w:rsid w:val="00825A99"/>
    <w:rsid w:val="008322BF"/>
    <w:rsid w:val="0084705A"/>
    <w:rsid w:val="00847D8E"/>
    <w:rsid w:val="00852DA4"/>
    <w:rsid w:val="008543F1"/>
    <w:rsid w:val="00864ED2"/>
    <w:rsid w:val="00866F5A"/>
    <w:rsid w:val="00870C19"/>
    <w:rsid w:val="00872225"/>
    <w:rsid w:val="00873DB1"/>
    <w:rsid w:val="008A05E7"/>
    <w:rsid w:val="008A33D2"/>
    <w:rsid w:val="008A3CE2"/>
    <w:rsid w:val="008B1224"/>
    <w:rsid w:val="008B233B"/>
    <w:rsid w:val="008C3564"/>
    <w:rsid w:val="008C6C74"/>
    <w:rsid w:val="008E0CA6"/>
    <w:rsid w:val="008F57F7"/>
    <w:rsid w:val="008F66AE"/>
    <w:rsid w:val="008F7275"/>
    <w:rsid w:val="00900042"/>
    <w:rsid w:val="00901DC8"/>
    <w:rsid w:val="00902987"/>
    <w:rsid w:val="00907974"/>
    <w:rsid w:val="00932EC8"/>
    <w:rsid w:val="00940A0F"/>
    <w:rsid w:val="009431DA"/>
    <w:rsid w:val="00951542"/>
    <w:rsid w:val="009516E9"/>
    <w:rsid w:val="00952737"/>
    <w:rsid w:val="009600B2"/>
    <w:rsid w:val="00961F0C"/>
    <w:rsid w:val="00965C69"/>
    <w:rsid w:val="009731AF"/>
    <w:rsid w:val="0099335C"/>
    <w:rsid w:val="009A224B"/>
    <w:rsid w:val="009A74E6"/>
    <w:rsid w:val="009B3601"/>
    <w:rsid w:val="009C63D2"/>
    <w:rsid w:val="009C6990"/>
    <w:rsid w:val="009E7456"/>
    <w:rsid w:val="009F46D8"/>
    <w:rsid w:val="009F5D02"/>
    <w:rsid w:val="00A00B21"/>
    <w:rsid w:val="00A01B40"/>
    <w:rsid w:val="00A020BB"/>
    <w:rsid w:val="00A03E87"/>
    <w:rsid w:val="00A10809"/>
    <w:rsid w:val="00A23EEA"/>
    <w:rsid w:val="00A240D5"/>
    <w:rsid w:val="00A2740B"/>
    <w:rsid w:val="00A36F65"/>
    <w:rsid w:val="00A511CE"/>
    <w:rsid w:val="00A627EB"/>
    <w:rsid w:val="00A65664"/>
    <w:rsid w:val="00A66B1B"/>
    <w:rsid w:val="00A66F82"/>
    <w:rsid w:val="00A923A3"/>
    <w:rsid w:val="00AA28F6"/>
    <w:rsid w:val="00AA6B60"/>
    <w:rsid w:val="00AB61A0"/>
    <w:rsid w:val="00AC221D"/>
    <w:rsid w:val="00AD008A"/>
    <w:rsid w:val="00AD2895"/>
    <w:rsid w:val="00AD3981"/>
    <w:rsid w:val="00AD5AEA"/>
    <w:rsid w:val="00AE1D70"/>
    <w:rsid w:val="00AE579D"/>
    <w:rsid w:val="00AE71C9"/>
    <w:rsid w:val="00B0071C"/>
    <w:rsid w:val="00B02E6B"/>
    <w:rsid w:val="00B053E6"/>
    <w:rsid w:val="00B07B2B"/>
    <w:rsid w:val="00B1262C"/>
    <w:rsid w:val="00B22EFB"/>
    <w:rsid w:val="00B30F08"/>
    <w:rsid w:val="00B46C1C"/>
    <w:rsid w:val="00B50C43"/>
    <w:rsid w:val="00B54438"/>
    <w:rsid w:val="00B76A50"/>
    <w:rsid w:val="00B866ED"/>
    <w:rsid w:val="00B92366"/>
    <w:rsid w:val="00B941B9"/>
    <w:rsid w:val="00BA4EBE"/>
    <w:rsid w:val="00BB3CE2"/>
    <w:rsid w:val="00BB6540"/>
    <w:rsid w:val="00BC6E76"/>
    <w:rsid w:val="00BD2704"/>
    <w:rsid w:val="00BE4EBC"/>
    <w:rsid w:val="00BF05AE"/>
    <w:rsid w:val="00C003DC"/>
    <w:rsid w:val="00C10B4C"/>
    <w:rsid w:val="00C20B60"/>
    <w:rsid w:val="00C26B28"/>
    <w:rsid w:val="00C310EA"/>
    <w:rsid w:val="00C33F6C"/>
    <w:rsid w:val="00C36094"/>
    <w:rsid w:val="00C468E8"/>
    <w:rsid w:val="00C52747"/>
    <w:rsid w:val="00C64399"/>
    <w:rsid w:val="00C67A1E"/>
    <w:rsid w:val="00C743D7"/>
    <w:rsid w:val="00C75A2C"/>
    <w:rsid w:val="00C93715"/>
    <w:rsid w:val="00CA7B55"/>
    <w:rsid w:val="00CB1EAC"/>
    <w:rsid w:val="00CB3989"/>
    <w:rsid w:val="00CB5969"/>
    <w:rsid w:val="00CC4651"/>
    <w:rsid w:val="00CD4024"/>
    <w:rsid w:val="00CE517E"/>
    <w:rsid w:val="00D0386E"/>
    <w:rsid w:val="00D04DB2"/>
    <w:rsid w:val="00D14309"/>
    <w:rsid w:val="00D2188C"/>
    <w:rsid w:val="00D37B3C"/>
    <w:rsid w:val="00D37EEB"/>
    <w:rsid w:val="00D5790F"/>
    <w:rsid w:val="00D608D3"/>
    <w:rsid w:val="00D74341"/>
    <w:rsid w:val="00D838C9"/>
    <w:rsid w:val="00D87ABB"/>
    <w:rsid w:val="00D87BD9"/>
    <w:rsid w:val="00D908E9"/>
    <w:rsid w:val="00DA0BDF"/>
    <w:rsid w:val="00DA584C"/>
    <w:rsid w:val="00DB0A9F"/>
    <w:rsid w:val="00DC4318"/>
    <w:rsid w:val="00DC5189"/>
    <w:rsid w:val="00DE0D9A"/>
    <w:rsid w:val="00DE229B"/>
    <w:rsid w:val="00DE243E"/>
    <w:rsid w:val="00DF055F"/>
    <w:rsid w:val="00DF7EEB"/>
    <w:rsid w:val="00E02D1A"/>
    <w:rsid w:val="00E02E7F"/>
    <w:rsid w:val="00E133A1"/>
    <w:rsid w:val="00E176D5"/>
    <w:rsid w:val="00E21EE3"/>
    <w:rsid w:val="00E41917"/>
    <w:rsid w:val="00E43DA7"/>
    <w:rsid w:val="00E45E20"/>
    <w:rsid w:val="00E47638"/>
    <w:rsid w:val="00E51D16"/>
    <w:rsid w:val="00E55FC7"/>
    <w:rsid w:val="00E62656"/>
    <w:rsid w:val="00E67FE4"/>
    <w:rsid w:val="00E854FE"/>
    <w:rsid w:val="00EB183E"/>
    <w:rsid w:val="00ED644E"/>
    <w:rsid w:val="00EF56AB"/>
    <w:rsid w:val="00F036B1"/>
    <w:rsid w:val="00F1544F"/>
    <w:rsid w:val="00F3022F"/>
    <w:rsid w:val="00F311CE"/>
    <w:rsid w:val="00F34AED"/>
    <w:rsid w:val="00F4745C"/>
    <w:rsid w:val="00F56102"/>
    <w:rsid w:val="00F608A0"/>
    <w:rsid w:val="00F64EFE"/>
    <w:rsid w:val="00F704B1"/>
    <w:rsid w:val="00F7347F"/>
    <w:rsid w:val="00F925A7"/>
    <w:rsid w:val="00F942DF"/>
    <w:rsid w:val="00F94850"/>
    <w:rsid w:val="00F975A7"/>
    <w:rsid w:val="00FA5449"/>
    <w:rsid w:val="00FB3001"/>
    <w:rsid w:val="00FB35DA"/>
    <w:rsid w:val="00FB58DB"/>
    <w:rsid w:val="00FC187C"/>
    <w:rsid w:val="00FC73C9"/>
    <w:rsid w:val="00FC78A3"/>
    <w:rsid w:val="00FD111A"/>
    <w:rsid w:val="00FE0A49"/>
    <w:rsid w:val="00FF17BC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E284"/>
  <w15:chartTrackingRefBased/>
  <w15:docId w15:val="{AE166D19-B735-4D5E-AA94-A4810DB3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6C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customStyle="1" w:styleId="Nierozpoznanawzmianka1">
    <w:name w:val="Nierozpoznana wzmianka1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  <w:style w:type="character" w:styleId="UyteHipercze">
    <w:name w:val="FollowedHyperlink"/>
    <w:uiPriority w:val="99"/>
    <w:semiHidden/>
    <w:unhideWhenUsed/>
    <w:rsid w:val="00B1262C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2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262C"/>
    <w:rPr>
      <w:rFonts w:ascii="Garamond" w:hAnsi="Garamond"/>
    </w:rPr>
  </w:style>
  <w:style w:type="character" w:styleId="Odwoanieprzypisukocowego">
    <w:name w:val="endnote reference"/>
    <w:uiPriority w:val="99"/>
    <w:semiHidden/>
    <w:unhideWhenUsed/>
    <w:rsid w:val="00B1262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46C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media/112343/Wytyczne_dotyczace_kwalifikowalnosci_2021_2027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CAC4B-DA7B-497C-BBDE-ADA4A7AC2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RWP Katalog wydatków kwalifikowanych</vt:lpstr>
    </vt:vector>
  </TitlesOfParts>
  <Company>NFOSiGW</Company>
  <LinksUpToDate>false</LinksUpToDate>
  <CharactersWithSpaces>3065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RWP Katalog wydatków kwalifikowanych</dc:title>
  <dc:subject/>
  <dc:creator>AJendrulek</dc:creator>
  <cp:keywords/>
  <dc:description/>
  <cp:lastModifiedBy>Janicka-Struska Agnieszka</cp:lastModifiedBy>
  <cp:revision>7</cp:revision>
  <cp:lastPrinted>2013-01-29T13:37:00Z</cp:lastPrinted>
  <dcterms:created xsi:type="dcterms:W3CDTF">2025-02-19T16:34:00Z</dcterms:created>
  <dcterms:modified xsi:type="dcterms:W3CDTF">2025-03-21T11:43:00Z</dcterms:modified>
</cp:coreProperties>
</file>